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3D6BA0">
        <w:rPr>
          <w:snapToGrid w:val="0"/>
        </w:rPr>
        <w:t>smlouvě</w:t>
      </w:r>
    </w:p>
    <w:p w:rsidR="001364F4" w:rsidRPr="00C10525" w:rsidRDefault="00C173E6" w:rsidP="00C173E6">
      <w:pPr>
        <w:pStyle w:val="Nadpis1"/>
        <w:jc w:val="both"/>
        <w:rPr>
          <w:b w:val="0"/>
          <w:sz w:val="24"/>
          <w:szCs w:val="24"/>
        </w:rPr>
      </w:pPr>
      <w:r w:rsidRPr="00C10525">
        <w:rPr>
          <w:b w:val="0"/>
          <w:snapToGrid w:val="0"/>
          <w:sz w:val="24"/>
          <w:szCs w:val="24"/>
        </w:rPr>
        <w:t>(stavba „</w:t>
      </w:r>
      <w:r w:rsidR="00C10525" w:rsidRPr="00C10525">
        <w:rPr>
          <w:b w:val="0"/>
          <w:sz w:val="24"/>
          <w:szCs w:val="24"/>
        </w:rPr>
        <w:t>Chodník Pohledec podél silnice II/360</w:t>
      </w:r>
      <w:r w:rsidRPr="00C10525">
        <w:rPr>
          <w:b w:val="0"/>
          <w:sz w:val="24"/>
          <w:szCs w:val="24"/>
        </w:rPr>
        <w:t>“)</w:t>
      </w:r>
    </w:p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stavby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D36B78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Spolupráce se zhotovitelem stavby při provádění opatření na odvrácení nebo omezení škod při ohrožení stavby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stavby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D36B78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BA2E71">
        <w:rPr>
          <w:sz w:val="24"/>
          <w:szCs w:val="24"/>
        </w:rPr>
        <w:t>;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149" w:rsidRDefault="00987149">
      <w:r>
        <w:separator/>
      </w:r>
    </w:p>
  </w:endnote>
  <w:endnote w:type="continuationSeparator" w:id="0">
    <w:p w:rsidR="00987149" w:rsidRDefault="00987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BE1DDB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BE1DDB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10525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149" w:rsidRDefault="00987149">
      <w:r>
        <w:separator/>
      </w:r>
    </w:p>
  </w:footnote>
  <w:footnote w:type="continuationSeparator" w:id="0">
    <w:p w:rsidR="00987149" w:rsidRDefault="00987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603"/>
    <w:rsid w:val="00183D3F"/>
    <w:rsid w:val="00195E2C"/>
    <w:rsid w:val="001A18DC"/>
    <w:rsid w:val="001A4DC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B7EFA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D6BA0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0A1"/>
    <w:rsid w:val="0054185A"/>
    <w:rsid w:val="00542083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4E6D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20BF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495C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5D74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87149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491F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6637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DDB"/>
    <w:rsid w:val="00BE1FE4"/>
    <w:rsid w:val="00BE7B20"/>
    <w:rsid w:val="00BF41D2"/>
    <w:rsid w:val="00BF6A90"/>
    <w:rsid w:val="00C001F3"/>
    <w:rsid w:val="00C04801"/>
    <w:rsid w:val="00C0658A"/>
    <w:rsid w:val="00C10525"/>
    <w:rsid w:val="00C14013"/>
    <w:rsid w:val="00C14DF6"/>
    <w:rsid w:val="00C173E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1D78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49CB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19CA"/>
    <w:rsid w:val="00F8486D"/>
    <w:rsid w:val="00F9537B"/>
    <w:rsid w:val="00F957A3"/>
    <w:rsid w:val="00FB553B"/>
    <w:rsid w:val="00FB67E2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5</TotalTime>
  <Pages>3</Pages>
  <Words>973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7</cp:revision>
  <cp:lastPrinted>2013-04-22T13:00:00Z</cp:lastPrinted>
  <dcterms:created xsi:type="dcterms:W3CDTF">2021-01-05T15:07:00Z</dcterms:created>
  <dcterms:modified xsi:type="dcterms:W3CDTF">2021-01-25T13:49:00Z</dcterms:modified>
</cp:coreProperties>
</file>